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332" w:rsidRDefault="00CF3332" w:rsidP="00CF3332">
      <w:pPr>
        <w:spacing w:line="288" w:lineRule="auto"/>
        <w:ind w:firstLine="454"/>
        <w:rPr>
          <w:rFonts w:eastAsia="Times New Roman"/>
          <w:sz w:val="28"/>
          <w:lang w:bidi="fa-IR"/>
        </w:rPr>
      </w:pPr>
      <w:r>
        <w:rPr>
          <w:rFonts w:eastAsia="Times New Roman" w:hint="cs"/>
          <w:szCs w:val="24"/>
          <w:rtl/>
          <w:lang w:bidi="fa-IR"/>
        </w:rPr>
        <w:t>تمامی پیشرفتهای علمی و فناوری که تا کنون صورت پذیرفته و یا در آینده انجام خواهد پذیرفت، بی گمان حاصل تلاش و کوشش های نیروی انسانی است که همواره عامل اصلی تولید و ارائه خدمات می باشد. سیستم جبران خدمات، یکی از عوامل تاثیرگذار در جذب، نگهداشت و ایجاد انگیزه در نیروی انسانی است.</w:t>
      </w:r>
      <w:r>
        <w:rPr>
          <w:rFonts w:hint="cs"/>
          <w:rtl/>
          <w:lang w:bidi="fa-IR"/>
        </w:rPr>
        <w:t xml:space="preserve"> </w:t>
      </w:r>
      <w:r>
        <w:rPr>
          <w:rFonts w:eastAsia="Times New Roman" w:hint="cs"/>
          <w:szCs w:val="24"/>
          <w:rtl/>
        </w:rPr>
        <w:t>همانطور که بر پویایی و پیچیدگی محیط افزوده می شود، سازمانها نیز باید برای دستیابی به عملکرد بهتر، کارآفرینانه تر عمل می نمایند.</w:t>
      </w:r>
      <w:r>
        <w:rPr>
          <w:rFonts w:eastAsia="Times New Roman" w:hint="cs"/>
          <w:szCs w:val="24"/>
          <w:rtl/>
          <w:lang w:bidi="fa-IR"/>
        </w:rPr>
        <w:t xml:space="preserve"> این پژوهش با هدف «</w:t>
      </w:r>
      <w:r>
        <w:rPr>
          <w:rFonts w:hint="cs"/>
          <w:rtl/>
          <w:lang w:bidi="fa-IR"/>
        </w:rPr>
        <w:t xml:space="preserve"> </w:t>
      </w:r>
      <w:r>
        <w:rPr>
          <w:rFonts w:eastAsia="Times New Roman" w:hint="cs"/>
          <w:szCs w:val="24"/>
          <w:rtl/>
          <w:lang w:bidi="fa-IR"/>
        </w:rPr>
        <w:t xml:space="preserve">بررسی نقش سیستم جبران خدمات بر کارآفرینی سازمانی با نقش واسطه ای عملکرد کارکنان و انگیزه در </w:t>
      </w:r>
      <w:bookmarkStart w:id="0" w:name="_Hlk41411505"/>
      <w:r>
        <w:rPr>
          <w:rFonts w:eastAsia="Times New Roman" w:hint="cs"/>
          <w:szCs w:val="24"/>
          <w:rtl/>
          <w:lang w:bidi="fa-IR"/>
        </w:rPr>
        <w:t>شهرداری های شهرستان لنجان</w:t>
      </w:r>
      <w:bookmarkEnd w:id="0"/>
      <w:r>
        <w:rPr>
          <w:rFonts w:eastAsia="Times New Roman" w:hint="cs"/>
          <w:szCs w:val="24"/>
          <w:rtl/>
          <w:lang w:bidi="fa-IR"/>
        </w:rPr>
        <w:t>» انجام گرفته است، که توصیفی-پیمایشی از نوع همبستگی با ماهیت کاربردی و از لحاظ زمانی مقطعی می باشد. جامعه آماری این پژوهش شامل کلیه کارکنان شهرداریهای شهرستان لنجان به تعداد 1590 نفر است که</w:t>
      </w:r>
      <w:r>
        <w:rPr>
          <w:rFonts w:eastAsia="Times New Roman" w:hint="cs"/>
          <w:szCs w:val="24"/>
          <w:lang w:bidi="fa-IR"/>
        </w:rPr>
        <w:t xml:space="preserve"> </w:t>
      </w:r>
      <w:r>
        <w:rPr>
          <w:rFonts w:eastAsia="Times New Roman" w:hint="cs"/>
          <w:szCs w:val="24"/>
          <w:rtl/>
          <w:lang w:bidi="fa-IR"/>
        </w:rPr>
        <w:t xml:space="preserve">با استفاده از فرمول کوکران تعداد 310 نفر با روش تصادفی خوشه ای به عنوان نمونه آماری انتخاب شد. ابزار اندازه گیری تحقیق، پرسشنامه ای برگرفته از منابع معتبر شامل گویه هایی برای متغیرهای سیستم جبران خدمات، کارآفرینی سازمانی، انگیزه و عملکرد کارکنان بود که مورد استفاده قرار گرفت. برای اندازه گیری روایی پرسشنامه ها از روش محتوایی و برای تعیین پایایی آن آلفای کرونباخ محاسبه گردید که مقدار آن برابر 0.859 برآورد گردید. برای بررسی فرضیات از روش معادلات ساختاری در نرم افزار </w:t>
      </w:r>
      <w:r>
        <w:rPr>
          <w:rFonts w:eastAsia="Times New Roman"/>
          <w:szCs w:val="24"/>
          <w:lang w:bidi="fa-IR"/>
        </w:rPr>
        <w:t>Smart Pls3</w:t>
      </w:r>
      <w:r>
        <w:rPr>
          <w:rFonts w:eastAsia="Times New Roman" w:hint="cs"/>
          <w:szCs w:val="24"/>
          <w:rtl/>
          <w:lang w:bidi="fa-IR"/>
        </w:rPr>
        <w:t xml:space="preserve"> استفاده شد. نتایج تحقیق نشان داد که در شهرداری های شهرستان لنجان سیستم جبران خدمات بر عملکرد کارکنان، عملکرد کارکنان بر کارآفرینی سازمانی و انگیزه کارکنان بر کارآفرینی سازمانی تاثیر معنی دار دارد. همچنین سیستم جبران خدمات بر کارآفرینی سازمانی با توجه به نقش میانجی عملکرد کارکنان به طور معنی دار تاثیر داشت. ولی نقش تعدیلگر انگیزه در رابطه تاثیر سیستم جبران خدمات بر کارآفرینی سازمانی تایید نشد. در ادامه نیز پیشنهاداتی برای بهبود کارآفرینی سازمانی براساس سیستم جبران خدمات و انگیزه و عملکرد کارکنان ارائه شد. </w:t>
      </w:r>
    </w:p>
    <w:p w:rsidR="00CF3332" w:rsidRDefault="00CF3332" w:rsidP="00CF3332">
      <w:pPr>
        <w:spacing w:line="288" w:lineRule="auto"/>
        <w:ind w:firstLine="454"/>
        <w:rPr>
          <w:rFonts w:eastAsia="Times New Roman" w:hint="cs"/>
          <w:b/>
          <w:bCs/>
          <w:sz w:val="28"/>
          <w:rtl/>
          <w:lang w:bidi="fa-IR"/>
        </w:rPr>
      </w:pPr>
      <w:r>
        <w:rPr>
          <w:rFonts w:eastAsia="Times New Roman" w:hint="cs"/>
          <w:b/>
          <w:bCs/>
          <w:sz w:val="28"/>
          <w:rtl/>
          <w:lang w:bidi="fa-IR"/>
        </w:rPr>
        <w:t xml:space="preserve">کلید واژه ها: </w:t>
      </w:r>
    </w:p>
    <w:p w:rsidR="00CF3332" w:rsidRDefault="00CF3332" w:rsidP="00CF3332">
      <w:pPr>
        <w:rPr>
          <w:rFonts w:hint="cs"/>
          <w:sz w:val="28"/>
          <w:rtl/>
          <w:lang w:bidi="fa-IR"/>
        </w:rPr>
      </w:pPr>
      <w:r>
        <w:rPr>
          <w:rFonts w:hint="cs"/>
          <w:sz w:val="28"/>
          <w:rtl/>
          <w:lang w:bidi="fa-IR"/>
        </w:rPr>
        <w:t>سیستم جبران خدمات، کارآفرینی سازمانی، عملکرد، انگیزه، شهرداری های شهرستان لنجان</w:t>
      </w:r>
    </w:p>
    <w:p w:rsidR="00CF3332" w:rsidRDefault="00CF3332" w:rsidP="00CF3332">
      <w:pPr>
        <w:bidi w:val="0"/>
        <w:spacing w:before="0" w:beforeAutospacing="0" w:after="0" w:afterAutospacing="0"/>
        <w:jc w:val="left"/>
        <w:rPr>
          <w:rFonts w:hint="cs"/>
          <w:sz w:val="28"/>
          <w:rtl/>
          <w:lang w:bidi="fa-IR"/>
        </w:rPr>
      </w:pPr>
      <w:r>
        <w:rPr>
          <w:rFonts w:hint="cs"/>
          <w:sz w:val="28"/>
          <w:rtl/>
          <w:lang w:bidi="fa-IR"/>
        </w:rPr>
        <w:br w:type="page"/>
      </w:r>
    </w:p>
    <w:p w:rsidR="00CF3332" w:rsidRDefault="00CF3332" w:rsidP="00CF3332">
      <w:pPr>
        <w:rPr>
          <w:rFonts w:hint="cs"/>
          <w:sz w:val="28"/>
          <w:rtl/>
          <w:lang w:bidi="fa-IR"/>
        </w:rPr>
      </w:pPr>
    </w:p>
    <w:p w:rsidR="00CF3332" w:rsidRDefault="00CF3332" w:rsidP="00CF3332">
      <w:pPr>
        <w:rPr>
          <w:rFonts w:hint="cs"/>
          <w:sz w:val="28"/>
          <w:rtl/>
          <w:lang w:bidi="fa-IR"/>
        </w:rPr>
      </w:pPr>
    </w:p>
    <w:p w:rsidR="00CF3332" w:rsidRDefault="00CF3332" w:rsidP="00CF3332">
      <w:pPr>
        <w:rPr>
          <w:rFonts w:hint="cs"/>
          <w:sz w:val="28"/>
          <w:rtl/>
          <w:lang w:bidi="fa-IR"/>
        </w:rPr>
      </w:pPr>
    </w:p>
    <w:p w:rsidR="00CF3332" w:rsidRDefault="00CF3332" w:rsidP="00CF3332">
      <w:pPr>
        <w:rPr>
          <w:rFonts w:hint="cs"/>
          <w:sz w:val="28"/>
          <w:rtl/>
          <w:lang w:bidi="fa-IR"/>
        </w:rPr>
      </w:pPr>
    </w:p>
    <w:p w:rsidR="00CF3332" w:rsidRDefault="00CF3332" w:rsidP="00CF3332">
      <w:pPr>
        <w:rPr>
          <w:rFonts w:hint="cs"/>
          <w:sz w:val="28"/>
          <w:rtl/>
          <w:lang w:bidi="fa-IR"/>
        </w:rPr>
      </w:pPr>
    </w:p>
    <w:p w:rsidR="00CF3332" w:rsidRDefault="00CF3332" w:rsidP="00CF3332">
      <w:pPr>
        <w:pStyle w:val="Heading1"/>
        <w:rPr>
          <w:rFonts w:hint="cs"/>
          <w:rtl/>
          <w:lang w:bidi="fa-IR"/>
        </w:rPr>
      </w:pPr>
      <w:bookmarkStart w:id="1" w:name="_Toc41851381"/>
      <w:r>
        <w:rPr>
          <w:rFonts w:hint="cs"/>
          <w:spacing w:val="50"/>
          <w:rtl/>
          <w:lang w:bidi="fa-IR"/>
        </w:rPr>
        <w:t>فصل اول :</w:t>
      </w:r>
      <w:bookmarkEnd w:id="1"/>
      <w:r>
        <w:rPr>
          <w:rFonts w:hint="cs"/>
          <w:spacing w:val="50"/>
          <w:rtl/>
          <w:lang w:bidi="fa-IR"/>
        </w:rPr>
        <w:t xml:space="preserve"> </w:t>
      </w:r>
    </w:p>
    <w:p w:rsidR="00CF3332" w:rsidRDefault="00CF3332" w:rsidP="00CF3332">
      <w:pPr>
        <w:pStyle w:val="Heading1"/>
        <w:rPr>
          <w:rFonts w:hint="cs"/>
          <w:rtl/>
          <w:lang w:bidi="fa-IR"/>
        </w:rPr>
      </w:pPr>
      <w:bookmarkStart w:id="2" w:name="_Toc41851382"/>
      <w:r>
        <w:rPr>
          <w:rFonts w:hint="cs"/>
          <w:rtl/>
          <w:lang w:bidi="fa-IR"/>
        </w:rPr>
        <w:t>کلیات تحقیق</w:t>
      </w:r>
      <w:bookmarkEnd w:id="2"/>
    </w:p>
    <w:p w:rsidR="00CF3332" w:rsidRDefault="00CF3332" w:rsidP="00CF3332">
      <w:pPr>
        <w:rPr>
          <w:rFonts w:hint="cs"/>
          <w:rtl/>
          <w:lang w:bidi="fa-IR"/>
        </w:rPr>
      </w:pPr>
    </w:p>
    <w:p w:rsidR="00CF3332" w:rsidRDefault="00CF3332" w:rsidP="00CF3332">
      <w:pPr>
        <w:rPr>
          <w:rFonts w:hint="cs"/>
          <w:rtl/>
          <w:lang w:bidi="fa-IR"/>
        </w:rPr>
      </w:pPr>
    </w:p>
    <w:p w:rsidR="00CF3332" w:rsidRDefault="00CF3332" w:rsidP="00CF3332">
      <w:pPr>
        <w:rPr>
          <w:rFonts w:hint="cs"/>
          <w:rtl/>
          <w:lang w:bidi="fa-IR"/>
        </w:rPr>
      </w:pPr>
    </w:p>
    <w:p w:rsidR="00CF3332" w:rsidRDefault="00CF3332" w:rsidP="00CF3332">
      <w:pPr>
        <w:rPr>
          <w:rFonts w:hint="cs"/>
          <w:sz w:val="32"/>
          <w:szCs w:val="32"/>
          <w:rtl/>
          <w:lang w:bidi="fa-IR"/>
        </w:rPr>
      </w:pPr>
      <w:bookmarkStart w:id="3" w:name="_Toc378009071"/>
      <w:bookmarkStart w:id="4" w:name="_Toc368497427"/>
      <w:bookmarkStart w:id="5" w:name="_Toc368497144"/>
    </w:p>
    <w:p w:rsidR="00CF3332" w:rsidRDefault="00CF3332" w:rsidP="00CF3332">
      <w:pPr>
        <w:rPr>
          <w:rFonts w:hint="cs"/>
          <w:sz w:val="32"/>
          <w:szCs w:val="32"/>
          <w:rtl/>
          <w:lang w:bidi="fa-IR"/>
        </w:rPr>
      </w:pPr>
    </w:p>
    <w:p w:rsidR="00CF3332" w:rsidRDefault="00CF3332" w:rsidP="00CF3332">
      <w:pPr>
        <w:pStyle w:val="Heading2"/>
        <w:rPr>
          <w:rFonts w:hint="cs"/>
          <w:rtl/>
          <w:lang w:bidi="fa-IR"/>
        </w:rPr>
      </w:pPr>
      <w:bookmarkStart w:id="6" w:name="_Toc41851383"/>
      <w:r>
        <w:rPr>
          <w:rFonts w:hint="cs"/>
          <w:rtl/>
          <w:lang w:bidi="fa-IR"/>
        </w:rPr>
        <w:t>مقدمه</w:t>
      </w:r>
      <w:bookmarkEnd w:id="3"/>
      <w:bookmarkEnd w:id="6"/>
    </w:p>
    <w:bookmarkEnd w:id="4"/>
    <w:bookmarkEnd w:id="5"/>
    <w:p w:rsidR="00CF3332" w:rsidRDefault="00CF3332" w:rsidP="00CF3332">
      <w:pPr>
        <w:rPr>
          <w:rFonts w:hint="cs"/>
          <w:sz w:val="28"/>
          <w:rtl/>
          <w:lang w:bidi="fa-IR"/>
        </w:rPr>
      </w:pPr>
      <w:r>
        <w:rPr>
          <w:rFonts w:hint="cs"/>
          <w:rtl/>
          <w:lang w:bidi="fa-IR"/>
        </w:rPr>
        <w:t xml:space="preserve"> تمامی پیشرفتهای علمی و فناوری که تا کنون صورت پذیرفته و یا در آینده انجام خواهد پذیرفت، بی گمان حاصل تلاش و کوشش های نیروی انسانی است که همواره عامل اصلی تولید و ارائه خدمات می باشد. سیستم جبران خدمات، یکی از عوامل تاثیرگذار در جذب، نگهداشت و ایجاد انگیزش در نیروی انسانی است. اهتمام این پژوهش، ایجاد یک کانال ارتباطی میان سیستم جبران خدمات و کارآفرینی سازمانی است. در واقع تلاش می گردد تا ضمن بیان مزایای این سیستم در سازمان های کارآفرین، بخشی از مقدمات نظری و ضروری جهت کارآفرین نمودن سازمان ها بویژه سازمان های بومی کشور شود. کارآفرینی شرکتی دریچه ای به سوی بهره برداری از مزایای رقابتی ماندگار نوآوری و پیشگامی برای سازمان ها است و سازمان کارآفرینی، سازمانی است که درصدد رشد پیوسته و پایدار از طریق احراز قابلیت های نوین، گسترش ظرفیت ها و قدم گذاری به عرصه های جدید کسب و کار می باشد. نوآوری، توان بالقوه برای رشد و اهداف راهبردی از جمله خصائص این دسته از سازمانها محسوب می گردند. سیستم جبران خدمات پویای سازمان های کارآفرینی در نقطه مقابل نظام های پرداخت سنتی قرار داشته و نقش چشمگیری در بسط و گسترش فرهنگ نوآوری میان کارکنان شایسته و خلاق ایفا می نماید. سیر نزولی اثر بخشی نظام های پرداخت مستمر، ثابت </w:t>
      </w:r>
      <w:r>
        <w:rPr>
          <w:rFonts w:hint="cs"/>
          <w:rtl/>
          <w:lang w:bidi="fa-IR"/>
        </w:rPr>
        <w:lastRenderedPageBreak/>
        <w:t>و ساعت مزد در محیط به شدت رقابتی امروز، موجب سوق دادن سازمان ها به سوی نظام های پرداخت انگیزشی، متغیر و منعطف به عنوان محرکی جهت همسویی مساعی کارکنان خلاق، مبتکر و شایسته در جهت اهداف سازمان گردیده است.</w:t>
      </w:r>
      <w:r>
        <w:rPr>
          <w:rFonts w:hint="cs"/>
          <w:lang w:bidi="fa-IR"/>
        </w:rPr>
        <w:t xml:space="preserve"> </w:t>
      </w:r>
      <w:r>
        <w:rPr>
          <w:rFonts w:hint="cs"/>
          <w:rtl/>
          <w:lang w:bidi="fa-IR"/>
        </w:rPr>
        <w:t>در اين فصل، پژوهشگر با هدف معرفي كليات و چارچوب اصلي تحقيق، قصد دارد پس از تشريح موضوع و بيان مسئله پژوهش، ابتدا به توضيح در خصوص اهميت و ضرورت انجام تحقيق و ذكر اهداف و فرضيه هاي اين تحقيق بپردازد. سپس مدل مفهومي بكار برده شده براي انجام اين تحقيق و نيز قلمرو مكاني، زماني و موضوعي پژوهش را معرفي نموده ودر انتها تعاريف مفهومي و عملياتي مربوط به متغيرهاي مدل پژوهش را ارائه نمايد.</w:t>
      </w:r>
    </w:p>
    <w:p w:rsidR="00CF3332" w:rsidRDefault="00CF3332" w:rsidP="00CF3332">
      <w:pPr>
        <w:pStyle w:val="Heading2"/>
        <w:numPr>
          <w:ilvl w:val="1"/>
          <w:numId w:val="1"/>
        </w:numPr>
        <w:rPr>
          <w:rFonts w:hint="cs"/>
          <w:rtl/>
          <w:lang w:bidi="fa-IR"/>
        </w:rPr>
      </w:pPr>
      <w:bookmarkStart w:id="7" w:name="_Toc41851384"/>
      <w:bookmarkStart w:id="8" w:name="_Toc523937408"/>
      <w:bookmarkStart w:id="9" w:name="_Toc378009073"/>
      <w:r>
        <w:rPr>
          <w:rFonts w:hint="cs"/>
          <w:rtl/>
          <w:lang w:bidi="fa-IR"/>
        </w:rPr>
        <w:t>بیان مسئله</w:t>
      </w:r>
      <w:bookmarkEnd w:id="7"/>
      <w:bookmarkEnd w:id="8"/>
      <w:bookmarkEnd w:id="9"/>
    </w:p>
    <w:p w:rsidR="00CF3332" w:rsidRDefault="00CF3332" w:rsidP="00CF3332">
      <w:pPr>
        <w:rPr>
          <w:rFonts w:hint="cs"/>
          <w:rtl/>
          <w:lang w:bidi="fa-IR"/>
        </w:rPr>
      </w:pPr>
      <w:r>
        <w:rPr>
          <w:rFonts w:hint="cs"/>
          <w:rtl/>
          <w:lang w:bidi="fa-IR"/>
        </w:rPr>
        <w:t>در سالهای اخیر، رقابت زیاد بین شرکتها و تغییرات فزاینده در صنعت و محیط دائماً متغیر، شرکتها را وادار به نوآوری دائم در راستای رقابت موفقیت آمیز در بازارها نموده است (هسو و همکاران</w:t>
      </w:r>
      <w:r>
        <w:rPr>
          <w:vertAlign w:val="superscript"/>
          <w:rtl/>
          <w:lang w:bidi="fa-IR"/>
        </w:rPr>
        <w:footnoteReference w:id="1"/>
      </w:r>
      <w:r>
        <w:rPr>
          <w:rFonts w:hint="cs"/>
          <w:rtl/>
          <w:lang w:bidi="fa-IR"/>
        </w:rPr>
        <w:t>،2005).</w:t>
      </w:r>
      <w:r>
        <w:rPr>
          <w:rFonts w:hint="cs"/>
          <w:lang w:bidi="fa-IR"/>
        </w:rPr>
        <w:t xml:space="preserve"> </w:t>
      </w:r>
      <w:r>
        <w:rPr>
          <w:rFonts w:hint="cs"/>
          <w:rtl/>
          <w:lang w:bidi="fa-IR"/>
        </w:rPr>
        <w:t>کارآفرینی عنصر کلیدی افزایش نوآوری شرکتها و تحقق مزیت رقابتی است(کاستروگیووانی و همکاران</w:t>
      </w:r>
      <w:r>
        <w:rPr>
          <w:vertAlign w:val="superscript"/>
          <w:rtl/>
          <w:lang w:bidi="fa-IR"/>
        </w:rPr>
        <w:footnoteReference w:id="2"/>
      </w:r>
      <w:r>
        <w:rPr>
          <w:rFonts w:hint="cs"/>
          <w:rtl/>
          <w:lang w:bidi="fa-IR"/>
        </w:rPr>
        <w:t xml:space="preserve">،2011). باید توجه داشت که فعالیتهای کارآفرینانه درون سازمان توسط افراد آغاز می شود و تداوم می یابد. در نتیجه سازمان می تواند از طریق فعالیت اعضایش، نوآور، فعال و ریسک پذیر باشد. کارکنان مستعد نوآوری، ریسک پذیری و تبادل دانش در سازمان به عنوان یک ضرورت مطرح هستند(مونتورو سانچز و سوریانو </w:t>
      </w:r>
      <w:r>
        <w:rPr>
          <w:vertAlign w:val="superscript"/>
          <w:rtl/>
          <w:lang w:bidi="fa-IR"/>
        </w:rPr>
        <w:footnoteReference w:id="3"/>
      </w:r>
      <w:r>
        <w:rPr>
          <w:rFonts w:hint="cs"/>
          <w:rtl/>
          <w:lang w:bidi="fa-IR"/>
        </w:rPr>
        <w:t>،2011). این نوع نگاه با دیدگاه مبتنی بر منابع شرکت که بر اهمیت منابع شرکت به عنوان محرک رشد، سودآوری بالا و کسب مزیت رقابتی تاکید می نماید، سازگار است(کاستروگیووانی و همکاران،2011). به طور خاص دیدگاه مبتنی بر منابع شرکت بر این باور است که دارا بودن منابع کلیدی نظیر نیروی انسانی با ویژگی هایی نظیر ارزش آفرینی، موانع کپی برداری، منحصربفرد بودن، عدم جانشین پذیری و قابلیت کاربرد می تواند به خلق مزیت رقابتی، بهبود فرهنگ نوآوری، ابتکار عمل و توسعه ی نگرشهای کارآفرینانه در درون سازمان کمک نماید(برتنیکی</w:t>
      </w:r>
      <w:r>
        <w:rPr>
          <w:vertAlign w:val="superscript"/>
          <w:rtl/>
          <w:lang w:bidi="fa-IR"/>
        </w:rPr>
        <w:footnoteReference w:id="4"/>
      </w:r>
      <w:r>
        <w:rPr>
          <w:rFonts w:hint="cs"/>
          <w:rtl/>
          <w:lang w:bidi="fa-IR"/>
        </w:rPr>
        <w:t>،2005).</w:t>
      </w:r>
      <w:r>
        <w:rPr>
          <w:rFonts w:hint="cs"/>
          <w:lang w:bidi="fa-IR"/>
        </w:rPr>
        <w:t xml:space="preserve"> </w:t>
      </w:r>
      <w:r>
        <w:rPr>
          <w:rFonts w:hint="cs"/>
          <w:rtl/>
          <w:lang w:bidi="fa-IR"/>
        </w:rPr>
        <w:t>با اذعان به جایگاه کارآفرینی از یک طرف و نقش بی بدیل منابع انسانی در تحقق کارآفرینی، شناسایی عوامل موثر بر کارآفرینی سازمانی از منظر مدیریت منابع انسانی می تواند مفید و زمینه ساز بهبود درک فعلی و جهت گیری های مطالعاتی آینده گردد. سیستمهای مدیریت منابع انسانی نظیر سیستم جبران خدمات درصورتی که بتوانند به کشف و به کارگیری فرصتها کمک کنند، می توانند تمایل کارکنان و مدیران سازمانها را به پذیرش مخاطرات نوآوری افزایش دهند و نقش چشمگیری در بسط و گسترش فرهنگ نوآوری میان کارکنان خلاق ایفا نمایند(سیدجوادین و همکاران،1390).</w:t>
      </w:r>
    </w:p>
    <w:p w:rsidR="00CF3332" w:rsidRDefault="00CF3332" w:rsidP="00CF3332">
      <w:pPr>
        <w:rPr>
          <w:lang w:bidi="fa-IR"/>
        </w:rPr>
      </w:pPr>
      <w:r>
        <w:rPr>
          <w:rFonts w:hint="cs"/>
          <w:rtl/>
          <w:lang w:bidi="fa-IR"/>
        </w:rPr>
        <w:lastRenderedPageBreak/>
        <w:t>رفتار مطلوب بایستی قدردانی شود، و عملکرد مطلوب بایستی پاداش داده شود. ولی آنچه در عمل اتفاق می افتد این است که ما به رفتار مطلوب پاداش مادی می دهیم و در عمل، عملکرد مطلوب که بایستی به نتایج کمی متصل شود، اساسا دیده نمی شود</w:t>
      </w:r>
      <w:r>
        <w:rPr>
          <w:lang w:bidi="fa-IR"/>
        </w:rPr>
        <w:t>.</w:t>
      </w:r>
      <w:r>
        <w:rPr>
          <w:rFonts w:hint="cs"/>
          <w:rtl/>
          <w:lang w:bidi="fa-IR"/>
        </w:rPr>
        <w:t xml:space="preserve"> اهداف کلی نظام جبران خدمات، ایجاد بهبود در توازن مالی، کارایی و پاسخگویی است. سطح پرداخت نیز عامل تعیین‌کننده اصلی در رضایت شغلی کارکنان است(آدونتنگ</w:t>
      </w:r>
      <w:r>
        <w:rPr>
          <w:vertAlign w:val="superscript"/>
          <w:rtl/>
          <w:lang w:bidi="fa-IR"/>
        </w:rPr>
        <w:footnoteReference w:id="5"/>
      </w:r>
      <w:r>
        <w:rPr>
          <w:rFonts w:hint="cs"/>
          <w:rtl/>
          <w:lang w:bidi="fa-IR"/>
        </w:rPr>
        <w:t>،2015).</w:t>
      </w:r>
      <w:r>
        <w:rPr>
          <w:rFonts w:hint="cs"/>
          <w:lang w:bidi="fa-IR"/>
        </w:rPr>
        <w:t xml:space="preserve"> </w:t>
      </w:r>
      <w:r>
        <w:rPr>
          <w:rFonts w:hint="cs"/>
          <w:rtl/>
          <w:lang w:bidi="fa-IR"/>
        </w:rPr>
        <w:t>منظور از فلسفه پرداخت مناسب این است که برای نظام جبران خدمات، چارچوب مناسبی را برای تصمیم گیری درباره پرداخت فراهم کند. فلسفه مذکور میتواند در شرایط اقتصادی و فناورانه بازار کار متغیر، به عنوان نقطه ثبات سازمان عمل کند(دیواندری و همکاران،1393). جبران خدمات نه فقط دریافتیهای بیرونی مانند حقوق و مزایا، بلکه همه دریافتیهایی را شامل میشود که در طبیعت شغل وجود دارد، مانند شناسایی و مطرح شدن، ترفیع، فرصتهای پیشرفت شغلی، غنی و پرمحتوا شدن شغل و شرایط کاری مطلوب. در حالی که حقوق و دستمزد معمولاً فقط به دریافتی های مالی کارکنان اختصاص دارد(کیدیدوو همکاران</w:t>
      </w:r>
      <w:r>
        <w:rPr>
          <w:vertAlign w:val="superscript"/>
          <w:rtl/>
          <w:lang w:bidi="fa-IR"/>
        </w:rPr>
        <w:footnoteReference w:id="6"/>
      </w:r>
      <w:r>
        <w:rPr>
          <w:rFonts w:hint="cs"/>
          <w:rtl/>
          <w:lang w:bidi="fa-IR"/>
        </w:rPr>
        <w:t>،2015). مطالعات جدید نشان می دهد که تعادل جبران خدمات با آموزش، انتخاب، ترتیبات کاری منعطف و فعالیتهای مرتبط با مشارکت کارکنان، در مقایسه با استفاده صرف از جبران خدمات، اثر مثبت بزرگتری بر عملکرد کارکنان دارد. در این راستا، به نظر می رسد که رویکرد پاداش کل رویکردی است که به خوبی می تواند پاسخگوی این نیاز باشد (لیو و چن</w:t>
      </w:r>
      <w:r>
        <w:rPr>
          <w:vertAlign w:val="superscript"/>
          <w:rtl/>
          <w:lang w:bidi="fa-IR"/>
        </w:rPr>
        <w:footnoteReference w:id="7"/>
      </w:r>
      <w:r>
        <w:rPr>
          <w:rFonts w:hint="cs"/>
          <w:rtl/>
          <w:lang w:bidi="fa-IR"/>
        </w:rPr>
        <w:t>،2012). در عصر رقابت سخت و فشار فزاینده برای درگیر شدن در آن، هیچ سازمانی نمی تواند ارزش راهبردی را که یک سیستم پاداش کل مناسب می تواند فراهم کند، نادیده بگیرد. در راهبرد، پاداش کل اثربخش به رضایت و بهره وری کارکنان، به ویژه کارکنانی که مولد عملکرد و نتایج مطلوب هستند، منجر می گردد(تورپل</w:t>
      </w:r>
      <w:r>
        <w:rPr>
          <w:vertAlign w:val="superscript"/>
          <w:rtl/>
          <w:lang w:bidi="fa-IR"/>
        </w:rPr>
        <w:footnoteReference w:id="8"/>
      </w:r>
      <w:r>
        <w:rPr>
          <w:rFonts w:hint="cs"/>
          <w:rtl/>
          <w:lang w:bidi="fa-IR"/>
        </w:rPr>
        <w:t xml:space="preserve">،2016). </w:t>
      </w:r>
    </w:p>
    <w:p w:rsidR="00CF3332" w:rsidRDefault="00CF3332" w:rsidP="00CF3332">
      <w:pPr>
        <w:rPr>
          <w:rFonts w:hint="cs"/>
          <w:rtl/>
          <w:lang w:bidi="fa-IR"/>
        </w:rPr>
      </w:pPr>
      <w:r>
        <w:rPr>
          <w:rFonts w:hint="cs"/>
          <w:rtl/>
        </w:rPr>
        <w:t>فراهم كـردن انگيـزه لازم بـراي انجـام كـار و توجـه بـه نيروهاي انگيزشي كاركنان از جملـه مهمتـرين و در عـين حال پيچيده ترين وظايف سازمانها است(</w:t>
      </w:r>
      <w:r>
        <w:rPr>
          <w:rFonts w:hint="cs"/>
          <w:rtl/>
          <w:lang w:bidi="fa-IR"/>
        </w:rPr>
        <w:t>فریمن و گارتی</w:t>
      </w:r>
      <w:r>
        <w:rPr>
          <w:vertAlign w:val="superscript"/>
          <w:rtl/>
          <w:lang w:bidi="fa-IR"/>
        </w:rPr>
        <w:footnoteReference w:id="9"/>
      </w:r>
      <w:r>
        <w:rPr>
          <w:rFonts w:hint="cs"/>
          <w:rtl/>
          <w:lang w:bidi="fa-IR"/>
        </w:rPr>
        <w:t>،2014</w:t>
      </w:r>
      <w:r>
        <w:rPr>
          <w:rFonts w:hint="cs"/>
          <w:rtl/>
        </w:rPr>
        <w:t>). انگيزش يك حالت دروني است كه رفتار انسان را انرژي بخشيده، فعـال ساخته، به حركت درآورده و به سوي اهداف معيني هدايت مي كند. به عبارت ديگر انگيزش تمايـل فـرد بـراي اعمـال تلاشهايي در جهت انجام و تحقـق هـدف اسـت</w:t>
      </w:r>
      <w:r>
        <w:rPr>
          <w:rFonts w:hint="cs"/>
          <w:rtl/>
          <w:lang w:bidi="fa-IR"/>
        </w:rPr>
        <w:t>(کرسول</w:t>
      </w:r>
      <w:r>
        <w:rPr>
          <w:vertAlign w:val="superscript"/>
          <w:rtl/>
          <w:lang w:bidi="fa-IR"/>
        </w:rPr>
        <w:footnoteReference w:id="10"/>
      </w:r>
      <w:r>
        <w:rPr>
          <w:rFonts w:hint="cs"/>
          <w:rtl/>
          <w:lang w:bidi="fa-IR"/>
        </w:rPr>
        <w:t>،2013)</w:t>
      </w:r>
      <w:r>
        <w:rPr>
          <w:rFonts w:hint="cs"/>
          <w:rtl/>
        </w:rPr>
        <w:t xml:space="preserve"> . انگيـزش قبل از هر چيز با مفاهيمي چون نياز، ميل، علاقه، رغبـت، سائق و محرك ارتباط دارد و آن را برحسب علاقه، فرهنگ يا موقعيت افراد استفاده ميكنند(میرکمالی،2015: 136). در محيطهاي كاري</w:t>
      </w:r>
      <w:r>
        <w:rPr>
          <w:rFonts w:hint="cs"/>
          <w:lang w:bidi="fa-IR"/>
        </w:rPr>
        <w:t xml:space="preserve"> </w:t>
      </w:r>
      <w:r>
        <w:rPr>
          <w:rFonts w:hint="cs"/>
          <w:rtl/>
        </w:rPr>
        <w:t>انگيزش به معني تلاش فرد براي تحقـق اهـداف سـازماني</w:t>
      </w:r>
      <w:r>
        <w:rPr>
          <w:rFonts w:hint="cs"/>
          <w:lang w:bidi="fa-IR"/>
        </w:rPr>
        <w:t xml:space="preserve"> </w:t>
      </w:r>
      <w:r>
        <w:rPr>
          <w:rFonts w:hint="cs"/>
          <w:rtl/>
        </w:rPr>
        <w:t xml:space="preserve">مـيباشـد(دیلما و </w:t>
      </w:r>
      <w:r>
        <w:rPr>
          <w:rFonts w:hint="cs"/>
          <w:rtl/>
        </w:rPr>
        <w:lastRenderedPageBreak/>
        <w:t>همکاران</w:t>
      </w:r>
      <w:r>
        <w:rPr>
          <w:vertAlign w:val="superscript"/>
          <w:rtl/>
        </w:rPr>
        <w:footnoteReference w:id="11"/>
      </w:r>
      <w:r>
        <w:rPr>
          <w:rFonts w:hint="cs"/>
          <w:rtl/>
        </w:rPr>
        <w:t>،2013: 25). انگيـزش شـغلي مهمتـرين عامـل مـؤثر در موفقيت و شكست سازمانها تلقي مي شـود و غفلـت از آن موجب به هدر رفتن منابع انساني است. براساس نتايج يك مطالعه در رابطـه بـا انگيـزش شـغلي 20 درصـد موفقيـت سازمانها به تلاش كاركنـان و 80 درصـد آن بـه انگيـزش آنها برميگردد(صادقی فر و همکاران،2014). ويسانند و راش (2014) معتقدند كاركنان با انگيـزه در حـالتي از تنش قرار دارند كه تنها اين تنش در زمان رسيدن به موضوع مورد انگيزش از بين مي رود در واقع انگيـزش بيشـتر تـنش بيشتري به همراه داشته و در نتيجه تـلاش بيشـتري بـراي رهايي از آن مورد نياز است .همچنين شناخت عوامل مؤثر در ايجاد انگيزش شـغلي از ضـرورت هـايي اسـت كـه عـلاوه بـر افزايش بهره وري و رضايت شغلي كاركنان به عملكرد بهينـه فردي و سازماني منجر مي شود(شرات و مک لود</w:t>
      </w:r>
      <w:r>
        <w:rPr>
          <w:vertAlign w:val="superscript"/>
          <w:rtl/>
        </w:rPr>
        <w:footnoteReference w:id="12"/>
      </w:r>
      <w:r>
        <w:rPr>
          <w:rFonts w:hint="cs"/>
          <w:rtl/>
        </w:rPr>
        <w:t xml:space="preserve">،2013). </w:t>
      </w:r>
    </w:p>
    <w:p w:rsidR="00CF3332" w:rsidRDefault="00CF3332" w:rsidP="00CF3332">
      <w:pPr>
        <w:rPr>
          <w:rFonts w:hint="cs"/>
          <w:rtl/>
          <w:lang w:bidi="fa-IR"/>
        </w:rPr>
      </w:pPr>
      <w:r>
        <w:rPr>
          <w:rFonts w:hint="cs"/>
          <w:rtl/>
          <w:lang w:bidi="fa-IR"/>
        </w:rPr>
        <w:t>اجرای موازین حاکمیت شرکتی در شهرداری به واسطه شمار و تنوع بالای ذی‌نفعان از اهمیت ویژه‌ای برخوردار است و معمولا دستورالعمل‌های حاکمیت شرکتی شهرداری ها نسبت به سایر شرکت‌های تجاری از ویژگی‌های خاصی برخوردار است(فان و همکاران</w:t>
      </w:r>
      <w:r>
        <w:rPr>
          <w:vertAlign w:val="superscript"/>
          <w:rtl/>
          <w:lang w:bidi="fa-IR"/>
        </w:rPr>
        <w:footnoteReference w:id="13"/>
      </w:r>
      <w:r>
        <w:rPr>
          <w:rFonts w:hint="cs"/>
          <w:rtl/>
          <w:lang w:bidi="fa-IR"/>
        </w:rPr>
        <w:t>،2011). شهرداری ها به‌عنوان سازمان‌هایی که کسب‌وکار آنها براساس تلاش و مهارت افراد بنا نهاده شده است، از نظر جذب و نگهداری نیروی انسانی نسبت به سایر سازمان‌ها از حساسیت بیشتری برخوردار هستند. نیروهای انسانی در شهرداری</w:t>
      </w:r>
      <w:r>
        <w:rPr>
          <w:rFonts w:hint="cs"/>
          <w:rtl/>
          <w:lang w:bidi="fa-IR"/>
        </w:rPr>
        <w:softHyphen/>
        <w:t>ها به‌عنوان موتور محرک این شرکت‌ها دارای اختیارات و مهارت‌هایی هستند که استفاده نامناسب یا جهت‌دار از آنها، می‌تواند منجر به تباهی منافع ذی‌نفعان ازجمله بیمه‌گذاران و سرمایه‌گذاران شود. هنر مدیریت در شهرداری</w:t>
      </w:r>
      <w:r>
        <w:rPr>
          <w:rFonts w:hint="cs"/>
          <w:rtl/>
          <w:lang w:bidi="fa-IR"/>
        </w:rPr>
        <w:softHyphen/>
        <w:t>ها برقراری تعادل میان منافع این سه گروه اصلی ذی‌نفع سازمان است. برای برقراری وضعیتی که منجر به جذب و نگهداری نیروهای شایسته در شهرداری</w:t>
      </w:r>
      <w:r>
        <w:rPr>
          <w:rFonts w:hint="cs"/>
          <w:rtl/>
          <w:lang w:bidi="fa-IR"/>
        </w:rPr>
        <w:softHyphen/>
        <w:t xml:space="preserve">ها شود، هیات‌مدیره باید براساس چارچوب‌های حاکمیت شرکتی از کمیته جبران خدمات برای اتخاذ بهترین تصمیم و سیاست‌ها بهره‌مند شوند. از طرفی با توجه به اينكه شهرداری های منطقه لنجان سازمانی بزرگ می باشد لازم است كه مدیران سازمان با نقش کارآفرینی و اهميت داشتن نگاه كارآفرينانه يا داشتن متخصصين كارآفريني در سازمان خود به خوبي آشنا شوند؛ لذا پژوهشگر در این تحقیق بر آن شد تا به بررسی تاثیر جبران خدمات برکارآفرینی بپردازد و به این سوال پاسخ داده می شود که آیا سیستم جبران خدمات بر کارآفرینی سازمانی با میانجی گری عملکرد کارکنان تاثیر دارد و انگیزه درونی و بیرونی کارکنان این رابطه را تقویت می کند؟ </w:t>
      </w:r>
    </w:p>
    <w:p w:rsidR="003603A9" w:rsidRDefault="003603A9">
      <w:bookmarkStart w:id="10" w:name="_GoBack"/>
      <w:bookmarkEnd w:id="10"/>
    </w:p>
    <w:sectPr w:rsidR="003603A9"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EFD" w:rsidRDefault="00CF2EFD" w:rsidP="00CF3332">
      <w:pPr>
        <w:spacing w:before="0" w:after="0"/>
      </w:pPr>
      <w:r>
        <w:separator/>
      </w:r>
    </w:p>
  </w:endnote>
  <w:endnote w:type="continuationSeparator" w:id="0">
    <w:p w:rsidR="00CF2EFD" w:rsidRDefault="00CF2EFD" w:rsidP="00CF33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EFD" w:rsidRDefault="00CF2EFD" w:rsidP="00CF3332">
      <w:pPr>
        <w:spacing w:before="0" w:after="0"/>
      </w:pPr>
      <w:r>
        <w:separator/>
      </w:r>
    </w:p>
  </w:footnote>
  <w:footnote w:type="continuationSeparator" w:id="0">
    <w:p w:rsidR="00CF2EFD" w:rsidRDefault="00CF2EFD" w:rsidP="00CF3332">
      <w:pPr>
        <w:spacing w:before="0" w:after="0"/>
      </w:pPr>
      <w:r>
        <w:continuationSeparator/>
      </w:r>
    </w:p>
  </w:footnote>
  <w:footnote w:id="1">
    <w:p w:rsidR="00CF3332" w:rsidRDefault="00CF3332" w:rsidP="00CF3332">
      <w:pPr>
        <w:pStyle w:val="FootnoteText"/>
        <w:bidi w:val="0"/>
        <w:spacing w:before="0" w:beforeAutospacing="0"/>
        <w:rPr>
          <w:rFonts w:hint="cs"/>
          <w:rtl/>
        </w:rPr>
      </w:pPr>
      <w:r>
        <w:rPr>
          <w:rStyle w:val="FootnoteReference"/>
        </w:rPr>
        <w:footnoteRef/>
      </w:r>
      <w:r>
        <w:t xml:space="preserve"> - </w:t>
      </w:r>
      <w:proofErr w:type="spellStart"/>
      <w:r>
        <w:t>Hsue</w:t>
      </w:r>
      <w:proofErr w:type="spellEnd"/>
      <w:r>
        <w:t xml:space="preserve"> et al</w:t>
      </w:r>
    </w:p>
  </w:footnote>
  <w:footnote w:id="2">
    <w:p w:rsidR="00CF3332" w:rsidRDefault="00CF3332" w:rsidP="00CF3332">
      <w:pPr>
        <w:pStyle w:val="FootnoteText"/>
        <w:bidi w:val="0"/>
        <w:spacing w:before="0" w:beforeAutospacing="0"/>
      </w:pPr>
      <w:r>
        <w:rPr>
          <w:rStyle w:val="FootnoteReference"/>
        </w:rPr>
        <w:footnoteRef/>
      </w:r>
      <w:r>
        <w:t xml:space="preserve"> </w:t>
      </w:r>
      <w:r>
        <w:t xml:space="preserve">- </w:t>
      </w:r>
      <w:proofErr w:type="spellStart"/>
      <w:r>
        <w:t>Castrogiovanni</w:t>
      </w:r>
      <w:proofErr w:type="spellEnd"/>
      <w:r>
        <w:t xml:space="preserve"> et al</w:t>
      </w:r>
    </w:p>
  </w:footnote>
  <w:footnote w:id="3">
    <w:p w:rsidR="00CF3332" w:rsidRDefault="00CF3332" w:rsidP="00CF3332">
      <w:pPr>
        <w:pStyle w:val="FootnoteText"/>
        <w:bidi w:val="0"/>
        <w:spacing w:before="0" w:beforeAutospacing="0"/>
      </w:pPr>
      <w:r>
        <w:rPr>
          <w:rStyle w:val="FootnoteReference"/>
        </w:rPr>
        <w:footnoteRef/>
      </w:r>
      <w:r>
        <w:t xml:space="preserve"> </w:t>
      </w:r>
      <w:r>
        <w:t xml:space="preserve">Soriano &amp; </w:t>
      </w:r>
      <w:proofErr w:type="spellStart"/>
      <w:r>
        <w:t>Montro</w:t>
      </w:r>
      <w:proofErr w:type="spellEnd"/>
      <w:r>
        <w:t xml:space="preserve"> Sanchez </w:t>
      </w:r>
    </w:p>
  </w:footnote>
  <w:footnote w:id="4">
    <w:p w:rsidR="00CF3332" w:rsidRDefault="00CF3332" w:rsidP="00CF3332">
      <w:pPr>
        <w:pStyle w:val="FootnoteText"/>
        <w:bidi w:val="0"/>
        <w:spacing w:before="0" w:beforeAutospacing="0"/>
      </w:pPr>
      <w:r>
        <w:rPr>
          <w:rStyle w:val="FootnoteReference"/>
        </w:rPr>
        <w:footnoteRef/>
      </w:r>
      <w:r>
        <w:t xml:space="preserve"> </w:t>
      </w:r>
      <w:r>
        <w:rPr>
          <w:rtl/>
        </w:rPr>
        <w:t xml:space="preserve"> </w:t>
      </w:r>
      <w:proofErr w:type="spellStart"/>
      <w:r>
        <w:t>Bratnicki</w:t>
      </w:r>
      <w:proofErr w:type="spellEnd"/>
    </w:p>
  </w:footnote>
  <w:footnote w:id="5">
    <w:p w:rsidR="00CF3332" w:rsidRDefault="00CF3332" w:rsidP="00CF3332">
      <w:pPr>
        <w:pStyle w:val="FootnoteText"/>
        <w:bidi w:val="0"/>
        <w:spacing w:before="0" w:beforeAutospacing="0"/>
        <w:rPr>
          <w:rFonts w:cs="B Nazanin"/>
        </w:rPr>
      </w:pPr>
      <w:r>
        <w:rPr>
          <w:rStyle w:val="FootnoteReference"/>
          <w:rFonts w:cs="B Nazanin"/>
        </w:rPr>
        <w:footnoteRef/>
      </w:r>
      <w:r>
        <w:rPr>
          <w:rFonts w:cs="B Nazanin"/>
        </w:rPr>
        <w:t xml:space="preserve"> </w:t>
      </w:r>
      <w:r>
        <w:rPr>
          <w:rFonts w:cs="B Nazanin"/>
        </w:rPr>
        <w:t xml:space="preserve">- </w:t>
      </w:r>
      <w:proofErr w:type="spellStart"/>
      <w:r>
        <w:rPr>
          <w:rFonts w:cs="B Nazanin"/>
        </w:rPr>
        <w:t>Adonteng-Kissi</w:t>
      </w:r>
      <w:proofErr w:type="spellEnd"/>
      <w:r>
        <w:rPr>
          <w:rFonts w:cs="B Nazanin"/>
        </w:rPr>
        <w:t>, Obed,</w:t>
      </w:r>
    </w:p>
  </w:footnote>
  <w:footnote w:id="6">
    <w:p w:rsidR="00CF3332" w:rsidRDefault="00CF3332" w:rsidP="00CF3332">
      <w:pPr>
        <w:pStyle w:val="FootnoteText"/>
        <w:bidi w:val="0"/>
        <w:spacing w:before="0" w:beforeAutospacing="0"/>
        <w:rPr>
          <w:rFonts w:cs="B Nazanin"/>
        </w:rPr>
      </w:pPr>
      <w:r>
        <w:rPr>
          <w:rStyle w:val="FootnoteReference"/>
          <w:rFonts w:cs="B Nazanin"/>
        </w:rPr>
        <w:footnoteRef/>
      </w:r>
      <w:r>
        <w:rPr>
          <w:rFonts w:cs="B Nazanin"/>
        </w:rPr>
        <w:t xml:space="preserve"> </w:t>
      </w:r>
      <w:r>
        <w:rPr>
          <w:rFonts w:cs="B Nazanin"/>
        </w:rPr>
        <w:t xml:space="preserve">- </w:t>
      </w:r>
      <w:proofErr w:type="spellStart"/>
      <w:r>
        <w:rPr>
          <w:rFonts w:cs="B Nazanin"/>
        </w:rPr>
        <w:t>Kidido</w:t>
      </w:r>
      <w:proofErr w:type="spellEnd"/>
      <w:r>
        <w:rPr>
          <w:rFonts w:cs="B Nazanin"/>
        </w:rPr>
        <w:t xml:space="preserve"> et al</w:t>
      </w:r>
    </w:p>
  </w:footnote>
  <w:footnote w:id="7">
    <w:p w:rsidR="00CF3332" w:rsidRDefault="00CF3332" w:rsidP="00CF3332">
      <w:pPr>
        <w:pStyle w:val="FootnoteText"/>
        <w:bidi w:val="0"/>
        <w:spacing w:before="0" w:beforeAutospacing="0"/>
        <w:rPr>
          <w:rFonts w:cs="B Nazanin"/>
        </w:rPr>
      </w:pPr>
      <w:r>
        <w:rPr>
          <w:rStyle w:val="FootnoteReference"/>
          <w:rFonts w:cs="B Nazanin"/>
        </w:rPr>
        <w:footnoteRef/>
      </w:r>
      <w:r>
        <w:rPr>
          <w:rFonts w:cs="B Nazanin"/>
        </w:rPr>
        <w:t xml:space="preserve"> </w:t>
      </w:r>
      <w:r>
        <w:rPr>
          <w:rFonts w:cs="B Nazanin"/>
        </w:rPr>
        <w:t>- Liu &amp; Chen</w:t>
      </w:r>
    </w:p>
  </w:footnote>
  <w:footnote w:id="8">
    <w:p w:rsidR="00CF3332" w:rsidRDefault="00CF3332" w:rsidP="00CF3332">
      <w:pPr>
        <w:pStyle w:val="FootnoteText"/>
        <w:bidi w:val="0"/>
        <w:spacing w:before="0" w:beforeAutospacing="0"/>
        <w:rPr>
          <w:rFonts w:cs="B Nazanin"/>
        </w:rPr>
      </w:pPr>
      <w:r>
        <w:rPr>
          <w:rStyle w:val="FootnoteReference"/>
          <w:rFonts w:cs="B Nazanin"/>
        </w:rPr>
        <w:footnoteRef/>
      </w:r>
      <w:r>
        <w:rPr>
          <w:rFonts w:cs="B Nazanin"/>
        </w:rPr>
        <w:t xml:space="preserve"> </w:t>
      </w:r>
      <w:r>
        <w:rPr>
          <w:rFonts w:cs="B Nazanin"/>
        </w:rPr>
        <w:t xml:space="preserve">- </w:t>
      </w:r>
      <w:proofErr w:type="spellStart"/>
      <w:r>
        <w:rPr>
          <w:rFonts w:cs="B Nazanin"/>
        </w:rPr>
        <w:t>Turpel</w:t>
      </w:r>
      <w:proofErr w:type="spellEnd"/>
    </w:p>
  </w:footnote>
  <w:footnote w:id="9">
    <w:p w:rsidR="00CF3332" w:rsidRDefault="00CF3332" w:rsidP="00CF3332">
      <w:pPr>
        <w:pStyle w:val="FootnoteText"/>
        <w:bidi w:val="0"/>
        <w:spacing w:before="0" w:beforeAutospacing="0"/>
        <w:rPr>
          <w:rFonts w:cs="B Nazanin"/>
        </w:rPr>
      </w:pPr>
      <w:r>
        <w:rPr>
          <w:rStyle w:val="FootnoteReference"/>
          <w:rFonts w:cs="B Nazanin"/>
        </w:rPr>
        <w:footnoteRef/>
      </w:r>
      <w:r>
        <w:rPr>
          <w:rFonts w:cs="B Nazanin"/>
        </w:rPr>
        <w:t xml:space="preserve"> </w:t>
      </w:r>
      <w:r>
        <w:rPr>
          <w:rFonts w:cs="B Nazanin"/>
        </w:rPr>
        <w:t xml:space="preserve">- Freeman &amp; </w:t>
      </w:r>
      <w:proofErr w:type="spellStart"/>
      <w:r>
        <w:rPr>
          <w:rFonts w:cs="B Nazanin"/>
        </w:rPr>
        <w:t>Garty</w:t>
      </w:r>
      <w:proofErr w:type="spellEnd"/>
    </w:p>
  </w:footnote>
  <w:footnote w:id="10">
    <w:p w:rsidR="00CF3332" w:rsidRDefault="00CF3332" w:rsidP="00CF3332">
      <w:pPr>
        <w:pStyle w:val="FootnoteText"/>
        <w:bidi w:val="0"/>
        <w:spacing w:before="0" w:beforeAutospacing="0"/>
        <w:rPr>
          <w:rFonts w:cs="B Nazanin"/>
        </w:rPr>
      </w:pPr>
      <w:r>
        <w:rPr>
          <w:rStyle w:val="FootnoteReference"/>
          <w:rFonts w:cs="B Nazanin"/>
        </w:rPr>
        <w:footnoteRef/>
      </w:r>
      <w:r>
        <w:rPr>
          <w:rFonts w:cs="B Nazanin"/>
        </w:rPr>
        <w:t xml:space="preserve"> </w:t>
      </w:r>
      <w:r>
        <w:rPr>
          <w:rFonts w:cs="B Nazanin"/>
        </w:rPr>
        <w:t>- Creswell</w:t>
      </w:r>
    </w:p>
  </w:footnote>
  <w:footnote w:id="11">
    <w:p w:rsidR="00CF3332" w:rsidRDefault="00CF3332" w:rsidP="00CF3332">
      <w:pPr>
        <w:pStyle w:val="FootnoteText"/>
        <w:bidi w:val="0"/>
        <w:spacing w:before="0" w:beforeAutospacing="0"/>
        <w:rPr>
          <w:rFonts w:cs="B Nazanin"/>
        </w:rPr>
      </w:pPr>
      <w:r>
        <w:rPr>
          <w:rStyle w:val="FootnoteReference"/>
          <w:rFonts w:cs="B Nazanin"/>
        </w:rPr>
        <w:footnoteRef/>
      </w:r>
      <w:r>
        <w:rPr>
          <w:rFonts w:cs="B Nazanin"/>
        </w:rPr>
        <w:t xml:space="preserve"> </w:t>
      </w:r>
      <w:r>
        <w:rPr>
          <w:rFonts w:cs="B Nazanin"/>
        </w:rPr>
        <w:t>- Dilma et al</w:t>
      </w:r>
    </w:p>
  </w:footnote>
  <w:footnote w:id="12">
    <w:p w:rsidR="00CF3332" w:rsidRDefault="00CF3332" w:rsidP="00CF3332">
      <w:pPr>
        <w:pStyle w:val="FootnoteText"/>
        <w:bidi w:val="0"/>
        <w:spacing w:before="0" w:beforeAutospacing="0"/>
        <w:rPr>
          <w:rFonts w:cs="B Nazanin"/>
        </w:rPr>
      </w:pPr>
      <w:r>
        <w:rPr>
          <w:rStyle w:val="FootnoteReference"/>
          <w:rFonts w:cs="B Nazanin"/>
        </w:rPr>
        <w:footnoteRef/>
      </w:r>
      <w:r>
        <w:rPr>
          <w:rFonts w:cs="B Nazanin"/>
        </w:rPr>
        <w:t xml:space="preserve"> </w:t>
      </w:r>
      <w:r>
        <w:rPr>
          <w:rFonts w:cs="B Nazanin"/>
        </w:rPr>
        <w:t xml:space="preserve">- </w:t>
      </w:r>
      <w:proofErr w:type="spellStart"/>
      <w:r>
        <w:rPr>
          <w:rFonts w:cs="B Nazanin"/>
        </w:rPr>
        <w:t>Sherratt</w:t>
      </w:r>
      <w:proofErr w:type="spellEnd"/>
      <w:r>
        <w:rPr>
          <w:rFonts w:cs="B Nazanin"/>
        </w:rPr>
        <w:t xml:space="preserve"> &amp; MacLeod</w:t>
      </w:r>
    </w:p>
  </w:footnote>
  <w:footnote w:id="13">
    <w:p w:rsidR="00CF3332" w:rsidRDefault="00CF3332" w:rsidP="00CF3332">
      <w:pPr>
        <w:pStyle w:val="FootnoteText"/>
        <w:bidi w:val="0"/>
        <w:spacing w:before="0" w:beforeAutospacing="0"/>
      </w:pPr>
      <w:r>
        <w:rPr>
          <w:rStyle w:val="FootnoteReference"/>
          <w:rFonts w:cs="B Nazanin"/>
        </w:rPr>
        <w:footnoteRef/>
      </w:r>
      <w:r>
        <w:rPr>
          <w:rFonts w:cs="B Nazanin"/>
        </w:rPr>
        <w:t xml:space="preserve"> </w:t>
      </w:r>
      <w:r>
        <w:rPr>
          <w:rFonts w:cs="B Nazanin"/>
        </w:rPr>
        <w:t>- Fan et al</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716128"/>
    <w:multiLevelType w:val="multilevel"/>
    <w:tmpl w:val="02803FF2"/>
    <w:lvl w:ilvl="0">
      <w:start w:val="1"/>
      <w:numFmt w:val="decimal"/>
      <w:lvlText w:val="%1"/>
      <w:lvlJc w:val="left"/>
      <w:pPr>
        <w:ind w:left="465" w:hanging="465"/>
      </w:p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332"/>
    <w:rsid w:val="003603A9"/>
    <w:rsid w:val="00734198"/>
    <w:rsid w:val="00CF2EFD"/>
    <w:rsid w:val="00CF333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185A0E-DFF4-43C3-BC3A-E4A5110DE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332"/>
    <w:pPr>
      <w:bidi/>
      <w:spacing w:before="100" w:beforeAutospacing="1" w:after="100" w:afterAutospacing="1" w:line="240" w:lineRule="auto"/>
      <w:contextualSpacing/>
      <w:jc w:val="both"/>
    </w:pPr>
    <w:rPr>
      <w:rFonts w:ascii="Times New Roman" w:eastAsia="Calibri" w:hAnsi="Times New Roman" w:cs="B Lotus"/>
      <w:sz w:val="24"/>
      <w:szCs w:val="28"/>
      <w:lang w:bidi="ar-SA"/>
    </w:rPr>
  </w:style>
  <w:style w:type="paragraph" w:styleId="Heading1">
    <w:name w:val="heading 1"/>
    <w:basedOn w:val="Normal"/>
    <w:next w:val="Normal"/>
    <w:link w:val="Heading1Char"/>
    <w:qFormat/>
    <w:rsid w:val="00CF3332"/>
    <w:pPr>
      <w:jc w:val="right"/>
      <w:outlineLvl w:val="0"/>
    </w:pPr>
    <w:rPr>
      <w:rFonts w:eastAsia="Times New Roman" w:cs="B Titr"/>
      <w:bCs/>
      <w:spacing w:val="20"/>
      <w:sz w:val="28"/>
      <w:szCs w:val="40"/>
      <w:lang w:val="x-none" w:eastAsia="x-none"/>
    </w:rPr>
  </w:style>
  <w:style w:type="paragraph" w:styleId="Heading2">
    <w:name w:val="heading 2"/>
    <w:basedOn w:val="Normal"/>
    <w:next w:val="Normal"/>
    <w:link w:val="Heading2Char"/>
    <w:semiHidden/>
    <w:unhideWhenUsed/>
    <w:qFormat/>
    <w:rsid w:val="00CF3332"/>
    <w:pPr>
      <w:outlineLvl w:val="1"/>
    </w:pPr>
    <w:rPr>
      <w:rFonts w:eastAsia="Times New Roman"/>
      <w:bCs/>
      <w:spacing w:val="15"/>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3332"/>
    <w:rPr>
      <w:rFonts w:ascii="Times New Roman" w:eastAsia="Times New Roman" w:hAnsi="Times New Roman" w:cs="B Titr"/>
      <w:bCs/>
      <w:spacing w:val="20"/>
      <w:sz w:val="28"/>
      <w:szCs w:val="40"/>
      <w:lang w:val="x-none" w:eastAsia="x-none" w:bidi="ar-SA"/>
    </w:rPr>
  </w:style>
  <w:style w:type="character" w:customStyle="1" w:styleId="Heading2Char">
    <w:name w:val="Heading 2 Char"/>
    <w:basedOn w:val="DefaultParagraphFont"/>
    <w:link w:val="Heading2"/>
    <w:semiHidden/>
    <w:rsid w:val="00CF3332"/>
    <w:rPr>
      <w:rFonts w:ascii="Times New Roman" w:eastAsia="Times New Roman" w:hAnsi="Times New Roman" w:cs="B Lotus"/>
      <w:bCs/>
      <w:spacing w:val="15"/>
      <w:sz w:val="24"/>
      <w:szCs w:val="32"/>
      <w:lang w:val="x-none" w:eastAsia="x-none" w:bidi="ar-SA"/>
    </w:rPr>
  </w:style>
  <w:style w:type="character" w:customStyle="1" w:styleId="FootnoteTextChar">
    <w:name w:val="Footnote Text Char"/>
    <w:aliases w:val="Char Char Char Char Char,Footnote Text Char Char Char Char1,Footnote Text Char Char Char Char Char,Footnote Text3 Char,Footnote Text41 Char,Footnote Text211 Char,Footnote Text Char Char Char311 Char,Footnote Text Char Char Char41 Char"/>
    <w:basedOn w:val="DefaultParagraphFont"/>
    <w:link w:val="FootnoteText"/>
    <w:uiPriority w:val="99"/>
    <w:semiHidden/>
    <w:locked/>
    <w:rsid w:val="00CF3332"/>
    <w:rPr>
      <w:rFonts w:ascii="Times New Roman" w:eastAsia="Times New Roman" w:hAnsi="Times New Roman" w:cs="Times New Roman"/>
      <w:lang w:val="x-none" w:eastAsia="x-none" w:bidi="ar-SA"/>
    </w:rPr>
  </w:style>
  <w:style w:type="paragraph" w:styleId="FootnoteText">
    <w:name w:val="footnote text"/>
    <w:aliases w:val="Char Char Char Char,Footnote Text Char Char Char,Footnote Text Char Char Char Char,Footnote Text3,Footnote Text41,Footnote Text211,Footnote Text Char Char Char311,Footnote Text Char Char Char41,Footnote Text311,Footnote Text23,Char,پاورقي"/>
    <w:basedOn w:val="Normal"/>
    <w:link w:val="FootnoteTextChar"/>
    <w:uiPriority w:val="99"/>
    <w:semiHidden/>
    <w:unhideWhenUsed/>
    <w:qFormat/>
    <w:rsid w:val="00CF3332"/>
    <w:rPr>
      <w:rFonts w:eastAsia="Times New Roman" w:cs="Times New Roman"/>
      <w:sz w:val="22"/>
      <w:szCs w:val="22"/>
      <w:lang w:val="x-none" w:eastAsia="x-none"/>
    </w:rPr>
  </w:style>
  <w:style w:type="character" w:customStyle="1" w:styleId="FootnoteTextChar1">
    <w:name w:val="Footnote Text Char1"/>
    <w:basedOn w:val="DefaultParagraphFont"/>
    <w:uiPriority w:val="99"/>
    <w:semiHidden/>
    <w:rsid w:val="00CF3332"/>
    <w:rPr>
      <w:rFonts w:ascii="Times New Roman" w:eastAsia="Calibri" w:hAnsi="Times New Roman" w:cs="B Lotus"/>
      <w:sz w:val="20"/>
      <w:szCs w:val="20"/>
      <w:lang w:bidi="ar-SA"/>
    </w:rPr>
  </w:style>
  <w:style w:type="character" w:styleId="FootnoteReference">
    <w:name w:val="footnote reference"/>
    <w:aliases w:val="شماره زيرنويس,Footnote text,Footnote,پاورقی,مرجع پاورقي,Omid Footnote"/>
    <w:semiHidden/>
    <w:unhideWhenUsed/>
    <w:rsid w:val="00CF33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22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2022-02-07T06:19:00Z</dcterms:created>
  <dcterms:modified xsi:type="dcterms:W3CDTF">2022-02-07T06:19:00Z</dcterms:modified>
</cp:coreProperties>
</file>